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632E" w14:textId="5F6CB134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 xml:space="preserve">Application Form </w:t>
      </w:r>
      <w:r w:rsidR="00FD2428">
        <w:rPr>
          <w:rFonts w:ascii="Times New Roman" w:hAnsi="Times New Roman" w:cs="Times New Roman"/>
          <w:b/>
          <w:sz w:val="28"/>
          <w:szCs w:val="28"/>
        </w:rPr>
        <w:t>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0622DCFF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045671">
        <w:rPr>
          <w:rFonts w:ascii="Times New Roman" w:hAnsi="Times New Roman" w:cs="Times New Roman"/>
        </w:rPr>
        <w:t>February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1" w:name="_Hlk1554968"/>
      <w:bookmarkStart w:id="2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42EC6D7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>.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608CEB37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proofErr w:type="gramStart"/>
      <w:r w:rsidR="00A56263">
        <w:rPr>
          <w:rFonts w:ascii="Times New Roman" w:hAnsi="Times New Roman" w:cs="Times New Roman"/>
        </w:rPr>
        <w:t>two day</w:t>
      </w:r>
      <w:proofErr w:type="gramEnd"/>
      <w:r w:rsidR="00A56263">
        <w:rPr>
          <w:rFonts w:ascii="Times New Roman" w:hAnsi="Times New Roman" w:cs="Times New Roman"/>
        </w:rPr>
        <w:t xml:space="preserve"> online </w:t>
      </w:r>
      <w:r w:rsidR="008D098C">
        <w:rPr>
          <w:rFonts w:ascii="Times New Roman" w:hAnsi="Times New Roman" w:cs="Times New Roman"/>
        </w:rPr>
        <w:t xml:space="preserve">theory element of the full FAR course or the one day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 xml:space="preserve">the Public Health restrictions have been put in place 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D101F54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</w:t>
      </w:r>
      <w:proofErr w:type="spellStart"/>
      <w:r w:rsidRPr="009A3E74">
        <w:rPr>
          <w:rFonts w:ascii="Times New Roman" w:hAnsi="Times New Roman" w:cs="Times New Roman"/>
        </w:rPr>
        <w:t>PHECC</w:t>
      </w:r>
      <w:proofErr w:type="spellEnd"/>
      <w:r w:rsidRPr="009A3E74">
        <w:rPr>
          <w:rFonts w:ascii="Times New Roman" w:hAnsi="Times New Roman" w:cs="Times New Roman"/>
        </w:rPr>
        <w:t xml:space="preserve">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proofErr w:type="spellStart"/>
      <w:r w:rsidR="009A3E74" w:rsidRPr="009A3E74">
        <w:rPr>
          <w:rFonts w:ascii="Times New Roman" w:hAnsi="Times New Roman" w:cs="Times New Roman"/>
        </w:rPr>
        <w:t>PHECC</w:t>
      </w:r>
      <w:proofErr w:type="spellEnd"/>
      <w:r w:rsidR="009A3E74" w:rsidRPr="009A3E74">
        <w:rPr>
          <w:rFonts w:ascii="Times New Roman" w:hAnsi="Times New Roman" w:cs="Times New Roman"/>
        </w:rPr>
        <w:t xml:space="preserve"> accredited FAR certificate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049"/>
        <w:gridCol w:w="112"/>
        <w:gridCol w:w="2070"/>
      </w:tblGrid>
      <w:tr w:rsidR="004D1945" w:rsidRPr="004A38A8" w14:paraId="64E0D615" w14:textId="77777777" w:rsidTr="00A81132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44" w:type="pct"/>
          </w:tcPr>
          <w:p w14:paraId="5EFB66A6" w14:textId="12CD9CEC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12" w:type="pct"/>
            <w:gridSpan w:val="2"/>
          </w:tcPr>
          <w:p w14:paraId="6D9DCD3D" w14:textId="4E9C2E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3D069B2D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091B7807" w14:textId="446D35AA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7DD86640" w14:textId="12EC3945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3304F017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7EE86FC7" w14:textId="4341A1AF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36151670" w14:textId="04B746C6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bookmarkEnd w:id="2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25E37047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2020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1975"/>
        <w:gridCol w:w="3419"/>
        <w:gridCol w:w="1350"/>
        <w:gridCol w:w="3450"/>
      </w:tblGrid>
      <w:tr w:rsidR="00A81132" w:rsidRPr="00D72605" w14:paraId="1FD8D268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gridSpan w:val="3"/>
          </w:tcPr>
          <w:p w14:paraId="3C799869" w14:textId="33BD8E90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132" w:rsidRPr="00D72605" w14:paraId="3FC68047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1" w:type="pct"/>
            <w:gridSpan w:val="3"/>
          </w:tcPr>
          <w:p w14:paraId="2FA09D7D" w14:textId="16FA9930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</w:tr>
      <w:tr w:rsidR="00A81132" w:rsidRPr="00D72605" w14:paraId="2DA03EB7" w14:textId="77777777" w:rsidTr="00A81132">
        <w:trPr>
          <w:trHeight w:val="237"/>
        </w:trPr>
        <w:tc>
          <w:tcPr>
            <w:tcW w:w="969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14:paraId="083301BF" w14:textId="1AAB0FAA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692" w:type="pct"/>
          </w:tcPr>
          <w:p w14:paraId="742AEBAD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</w:tr>
    </w:tbl>
    <w:p w14:paraId="23A09F2C" w14:textId="505BC7D8" w:rsidR="004A38A8" w:rsidRPr="000D2947" w:rsidRDefault="004A38A8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</w:t>
      </w:r>
      <w:r w:rsidR="004D1945">
        <w:rPr>
          <w:rFonts w:ascii="Times New Roman" w:hAnsi="Times New Roman" w:cs="Times New Roman"/>
          <w:b/>
          <w:sz w:val="28"/>
          <w:szCs w:val="28"/>
        </w:rPr>
        <w:t>20</w:t>
      </w:r>
    </w:p>
    <w:p w14:paraId="68837D68" w14:textId="0D702DFB" w:rsidR="00250C95" w:rsidRPr="000D2947" w:rsidRDefault="00250C95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service’s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 xml:space="preserve">bank account. </w:t>
            </w:r>
            <w:proofErr w:type="gramStart"/>
            <w:r w:rsidRPr="003C2943">
              <w:rPr>
                <w:rFonts w:ascii="Times New Roman" w:hAnsi="Times New Roman" w:cs="Times New Roman"/>
              </w:rPr>
              <w:t>In order to</w:t>
            </w:r>
            <w:proofErr w:type="gramEnd"/>
            <w:r w:rsidRPr="003C2943">
              <w:rPr>
                <w:rFonts w:ascii="Times New Roman" w:hAnsi="Times New Roman" w:cs="Times New Roman"/>
              </w:rPr>
              <w:t xml:space="preserve">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73B77786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proofErr w:type="spellStart"/>
      <w:r w:rsidR="00C61193">
        <w:rPr>
          <w:rFonts w:ascii="Times New Roman" w:hAnsi="Times New Roman" w:cs="Times New Roman"/>
          <w:b/>
        </w:rPr>
        <w:t>PHECC</w:t>
      </w:r>
      <w:proofErr w:type="spellEnd"/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 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</w:t>
      </w:r>
      <w:proofErr w:type="spellStart"/>
      <w:r w:rsidR="00C61193" w:rsidRPr="00993B17">
        <w:rPr>
          <w:rFonts w:ascii="Times New Roman" w:hAnsi="Times New Roman" w:cs="Times New Roman"/>
          <w:b/>
        </w:rPr>
        <w:t>PHECC</w:t>
      </w:r>
      <w:proofErr w:type="spellEnd"/>
      <w:r w:rsidR="00C61193" w:rsidRPr="00993B17">
        <w:rPr>
          <w:rFonts w:ascii="Times New Roman" w:hAnsi="Times New Roman" w:cs="Times New Roman"/>
          <w:b/>
        </w:rPr>
        <w:t xml:space="preserve">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proofErr w:type="spellStart"/>
      <w:r w:rsidR="00066F40" w:rsidRPr="00066F40">
        <w:rPr>
          <w:rFonts w:ascii="Times New Roman" w:hAnsi="Times New Roman" w:cs="Times New Roman"/>
          <w:b/>
        </w:rPr>
        <w:t>PHECC</w:t>
      </w:r>
      <w:proofErr w:type="spellEnd"/>
      <w:r w:rsidR="00066F40" w:rsidRPr="00066F40">
        <w:rPr>
          <w:rFonts w:ascii="Times New Roman" w:hAnsi="Times New Roman" w:cs="Times New Roman"/>
          <w:b/>
        </w:rPr>
        <w:t xml:space="preserve">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5CF2" w14:textId="77777777" w:rsidR="00CA622D" w:rsidRDefault="00CA622D" w:rsidP="00456E9E">
      <w:pPr>
        <w:spacing w:after="0" w:line="240" w:lineRule="auto"/>
      </w:pPr>
      <w:r>
        <w:separator/>
      </w:r>
    </w:p>
  </w:endnote>
  <w:endnote w:type="continuationSeparator" w:id="0">
    <w:p w14:paraId="6AA061E2" w14:textId="77777777" w:rsidR="00CA622D" w:rsidRDefault="00CA622D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0EB8C50D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Pr="000D2947">
          <w:rPr>
            <w:rFonts w:ascii="Times New Roman" w:hAnsi="Times New Roman" w:cs="Times New Roman"/>
            <w:b/>
            <w:noProof/>
          </w:rPr>
          <w:t>2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672543AE" w:rsidR="00057D5C" w:rsidRDefault="000D2947" w:rsidP="00C00E8D">
    <w:pPr>
      <w:pStyle w:val="Footer"/>
      <w:jc w:val="center"/>
    </w:pPr>
    <w:r>
      <w:rPr>
        <w:noProof/>
      </w:rPr>
      <w:drawing>
        <wp:inline distT="0" distB="0" distL="0" distR="0" wp14:anchorId="1C6BEBAE" wp14:editId="3A70A4B8">
          <wp:extent cx="1609725" cy="652099"/>
          <wp:effectExtent l="0" t="0" r="0" b="0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408" cy="67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GB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DC65" w14:textId="77777777" w:rsidR="00CA622D" w:rsidRDefault="00CA622D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6FAEA88B" w14:textId="77777777" w:rsidR="00CA622D" w:rsidRDefault="00CA622D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6F40"/>
    <w:rsid w:val="000736FF"/>
    <w:rsid w:val="000D2947"/>
    <w:rsid w:val="000F392F"/>
    <w:rsid w:val="000F60A2"/>
    <w:rsid w:val="00116E5F"/>
    <w:rsid w:val="0012767D"/>
    <w:rsid w:val="001840BA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85917"/>
    <w:rsid w:val="003C2943"/>
    <w:rsid w:val="003D356D"/>
    <w:rsid w:val="003E7853"/>
    <w:rsid w:val="00452FF1"/>
    <w:rsid w:val="00456E9E"/>
    <w:rsid w:val="00492597"/>
    <w:rsid w:val="00492810"/>
    <w:rsid w:val="004A1AD0"/>
    <w:rsid w:val="004A38A8"/>
    <w:rsid w:val="004C5E39"/>
    <w:rsid w:val="004D1945"/>
    <w:rsid w:val="004D63DC"/>
    <w:rsid w:val="00542719"/>
    <w:rsid w:val="0056444A"/>
    <w:rsid w:val="00633F47"/>
    <w:rsid w:val="00652C1D"/>
    <w:rsid w:val="006F2651"/>
    <w:rsid w:val="0077768F"/>
    <w:rsid w:val="007875E1"/>
    <w:rsid w:val="007F3674"/>
    <w:rsid w:val="00814D56"/>
    <w:rsid w:val="00830138"/>
    <w:rsid w:val="008C37A1"/>
    <w:rsid w:val="008D098C"/>
    <w:rsid w:val="008F66FA"/>
    <w:rsid w:val="00935C84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81132"/>
    <w:rsid w:val="00AB0F3D"/>
    <w:rsid w:val="00AB7454"/>
    <w:rsid w:val="00AD2DE6"/>
    <w:rsid w:val="00AD40FB"/>
    <w:rsid w:val="00B4607B"/>
    <w:rsid w:val="00B51459"/>
    <w:rsid w:val="00B53C2D"/>
    <w:rsid w:val="00B73140"/>
    <w:rsid w:val="00B856EE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440-44D4-411C-A614-C0CE6593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34980-6A51-4E97-B407-EF4487D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Áine Brummell</cp:lastModifiedBy>
  <cp:revision>2</cp:revision>
  <cp:lastPrinted>2019-02-20T12:03:00Z</cp:lastPrinted>
  <dcterms:created xsi:type="dcterms:W3CDTF">2020-05-19T13:18:00Z</dcterms:created>
  <dcterms:modified xsi:type="dcterms:W3CDTF">2020-05-19T13:18:00Z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